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7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budžetskih prihoda i primanja gradova Novi Pazar, Kraljevo i Čačak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Podaci o budžetskim prihodima i primanjima za tri grada – Novi Pazar, Kraljevo i Čačak – analizirani su uzimajući u obzir dve perspektive:</w:t>
      </w:r>
      <w:r/>
    </w:p>
    <w:p>
      <w:pPr>
        <w:pStyle w:val="605"/>
        <w:numPr>
          <w:ilvl w:val="0"/>
          <w:numId w:val="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Analiza po godinama uzimajući 2022. godinu kao baznu (indeksni poeni).</w:t>
      </w:r>
      <w:r/>
    </w:p>
    <w:p>
      <w:pPr>
        <w:pStyle w:val="605"/>
        <w:numPr>
          <w:ilvl w:val="0"/>
          <w:numId w:val="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Poređenje između gradova uzimajući Novi Pazar kao baznu vrednost.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highlight w:val="none"/>
        </w:rPr>
        <w:t xml:space="preserve">Analiza je urađena na osnovu Odluka o budžetu koje se mogu pronaći na zvaničnim prezentacijama gradova (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highlight w:val="none"/>
        </w:rPr>
      </w:r>
      <w:hyperlink r:id="rId11" w:tooltip="https://www.novipazar.rs/dokumenti#2023" w:history="1">
        <w:r>
          <w:rPr>
            <w:rStyle w:val="174"/>
            <w:rFonts w:ascii="Times New Roman" w:hAnsi="Times New Roman" w:eastAsia="Times New Roman" w:cs="Times New Roman"/>
            <w:b w:val="0"/>
            <w:bCs w:val="0"/>
            <w:sz w:val="24"/>
            <w:highlight w:val="none"/>
          </w:rPr>
          <w:t xml:space="preserve">https://www.novipazar.rs/dokumenti#2023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highlight w:val="none"/>
        </w:rPr>
        <w:t xml:space="preserve">za Novi Pazar,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highlight w:val="none"/>
        </w:rPr>
      </w:r>
      <w:hyperlink r:id="rId12" w:tooltip="https://www.kraljevo.rs/dokumenti/budzet/" w:history="1">
        <w:r>
          <w:rPr>
            <w:rStyle w:val="174"/>
            <w:rFonts w:ascii="Times New Roman" w:hAnsi="Times New Roman" w:eastAsia="Times New Roman" w:cs="Times New Roman"/>
            <w:b w:val="0"/>
            <w:bCs w:val="0"/>
            <w:sz w:val="24"/>
            <w:highlight w:val="none"/>
          </w:rPr>
          <w:t xml:space="preserve">https://www.kraljevo.rs/dokumenti/budzet/</w:t>
        </w:r>
        <w:r>
          <w:rPr>
            <w:rStyle w:val="174"/>
            <w:rFonts w:ascii="Times New Roman" w:hAnsi="Times New Roman" w:eastAsia="Times New Roman" w:cs="Times New Roman"/>
            <w:b w:val="0"/>
            <w:bCs w:val="0"/>
            <w:sz w:val="24"/>
            <w:highlight w:val="none"/>
          </w:rPr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highlight w:val="none"/>
        </w:rPr>
        <w:t xml:space="preserve"> za Kraljevo i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highlight w:val="none"/>
        </w:rPr>
      </w:r>
      <w:hyperlink r:id="rId13" w:tooltip="https://www.cacak.org.rs/253-1-l" w:history="1">
        <w:r>
          <w:rPr>
            <w:rStyle w:val="174"/>
            <w:rFonts w:ascii="Times New Roman" w:hAnsi="Times New Roman" w:eastAsia="Times New Roman" w:cs="Times New Roman"/>
            <w:b w:val="0"/>
            <w:bCs w:val="0"/>
            <w:sz w:val="24"/>
            <w:highlight w:val="none"/>
          </w:rPr>
          <w:t xml:space="preserve">https://www.cacak.org.rs/253-1-l</w:t>
        </w:r>
        <w:r>
          <w:rPr>
            <w:rStyle w:val="174"/>
            <w:rFonts w:ascii="Times New Roman" w:hAnsi="Times New Roman" w:eastAsia="Times New Roman" w:cs="Times New Roman"/>
            <w:b w:val="0"/>
            <w:bCs w:val="0"/>
            <w:sz w:val="24"/>
            <w:highlight w:val="none"/>
          </w:rPr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highlight w:val="none"/>
        </w:rPr>
        <w:t xml:space="preserve"> za Čačak)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highlight w:val="none"/>
        </w:rPr>
      </w:r>
    </w:p>
    <w:p>
      <w:pPr>
        <w:pStyle w:val="17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Analiza po godinama (indeksni poeni, baza 2022. godina)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Indeksni poeni su izračunati poređenjem prihoda u svakoj narednoj godini sa baznom 2022. godinom. </w:t>
      </w:r>
      <w:r/>
    </w:p>
    <w:p>
      <w:pPr>
        <w:pStyle w:val="19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Tabela 1: Indeksni poeni po gradovima (baza 2022. godina)</w:t>
      </w:r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574"/>
        <w:gridCol w:w="1701"/>
        <w:gridCol w:w="1559"/>
        <w:gridCol w:w="1843"/>
        <w:gridCol w:w="170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7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Prihodi 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Prihodi 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Indeks 2023 (2022=100)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Prihodi 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Indeks 2024 (2022=100)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7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3.532.000.000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4.694.500.000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4.272.900.000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7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4.289.917.110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5.064.293.600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5.348.546.800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7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6.158.384.000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8.300.000.000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8.820.000.000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143</w:t>
            </w:r>
            <w:r/>
          </w:p>
        </w:tc>
      </w:tr>
    </w:tbl>
    <w:p>
      <w:pPr>
        <w:ind w:left="0" w:right="0" w:firstLine="0"/>
        <w:spacing w:before="240" w:after="24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67316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889397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40424" cy="3673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8pt;height:289.2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spacing w:before="240" w:after="24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Zaključci:</w:t>
      </w:r>
      <w:r/>
    </w:p>
    <w:p>
      <w:pPr>
        <w:pStyle w:val="605"/>
        <w:numPr>
          <w:ilvl w:val="0"/>
          <w:numId w:val="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Novi Pazar: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Budžetski prihodi su porasli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33% u 2023. godini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ali su u 2024. smanjeni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121% u odnosu na 2022. godinu.</w:t>
      </w:r>
      <w:r/>
    </w:p>
    <w:p>
      <w:pPr>
        <w:pStyle w:val="605"/>
        <w:numPr>
          <w:ilvl w:val="0"/>
          <w:numId w:val="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Kraljevo: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Prihodi su stabilno rasli, dostigavši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18% porasta u 2023.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25% u 2024.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odnosu na baznu 2022. godinu.</w:t>
      </w:r>
      <w:r/>
    </w:p>
    <w:p>
      <w:pPr>
        <w:pStyle w:val="605"/>
        <w:numPr>
          <w:ilvl w:val="0"/>
          <w:numId w:val="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Čačak: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Imao je najveći rast prihoda. U 2023. godini porast je iznosio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35%,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dok je u 2024. godini prihod dostigao čak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43% više u odnosu na 2022. godinu.</w:t>
      </w:r>
      <w:r/>
    </w:p>
    <w:p>
      <w:pPr>
        <w:pStyle w:val="17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Analiza po gradovima (Novi Pazar kao baza)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 ovoj analizi prihodi ostalih gradova poređeni su sa budžetskim prihodima Novog Pazara, koristeći ga kao osnovnu vrednost (baza = 100). </w:t>
      </w:r>
      <w:r/>
    </w:p>
    <w:p>
      <w:pPr>
        <w:pStyle w:val="19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Tabela 2: Indeksni poeni po gradovima (baza Novi Pazar)</w:t>
      </w:r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335"/>
        <w:gridCol w:w="1650"/>
        <w:gridCol w:w="2316"/>
        <w:gridCol w:w="326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Prihodi (mil. RSD)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 (baza=100)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Indeksni poen (u odnosu na NP)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3.532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4.290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6.158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4.694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5.064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4.272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5.348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8.820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6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206</w:t>
            </w:r>
            <w:r/>
          </w:p>
        </w:tc>
      </w:tr>
    </w:tbl>
    <w:p>
      <w:pPr>
        <w:ind w:left="0" w:right="0" w:firstLine="0"/>
        <w:spacing w:before="240" w:after="24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Zaključci:</w:t>
      </w:r>
      <w:r/>
    </w:p>
    <w:p>
      <w:pPr>
        <w:pStyle w:val="605"/>
        <w:numPr>
          <w:ilvl w:val="0"/>
          <w:numId w:val="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2022. godini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budžet Kraljeva je bio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22% veći od Novog Pazara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je budžet Čačka bio skoro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74% veći.</w:t>
      </w:r>
      <w:r/>
    </w:p>
    <w:p>
      <w:pPr>
        <w:pStyle w:val="605"/>
        <w:numPr>
          <w:ilvl w:val="0"/>
          <w:numId w:val="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2023. godini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iako je Novi Pazar zabeležio značajan rast budžeta, Čačak je zadržao visoku prednost, sa budžetom većim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77%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odnosu na Novi Pazar.</w:t>
      </w:r>
      <w:r/>
    </w:p>
    <w:p>
      <w:pPr>
        <w:pStyle w:val="605"/>
        <w:numPr>
          <w:ilvl w:val="0"/>
          <w:numId w:val="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2024. godini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razlika između Novog Pazara i Čačka dodatno raste – budžet Čačka je više nego dvostruko veći (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206% u odnosu na Novi Pazar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).</w:t>
      </w:r>
      <w:r/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17"/>
        <w:ind w:left="0" w:right="0" w:firstLine="0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Komparativna analiza između gradova</w:t>
      </w:r>
      <w:r/>
    </w:p>
    <w:p>
      <w:pPr>
        <w:pStyle w:val="19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Tabela 3: Rast prihoda po gradovima (2022-2024, u apsolutnim iznosima)</w:t>
      </w:r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800"/>
        <w:gridCol w:w="1984"/>
        <w:gridCol w:w="2268"/>
        <w:gridCol w:w="174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Grad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Prihodi 2022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Prihodi 2024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Apsolutni rast (2024-2022)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Procentualni rast (%)</w:t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Novi Pazar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3.532.000.000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4.272.900.000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740.900.000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21%</w:t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Kraljevo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4.289.917.110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5.348.546.800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1.058.629.690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25%</w:t>
            </w:r>
            <w:r>
              <w:rPr>
                <w:b w:val="0"/>
                <w:bCs w:val="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8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Čačak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6.158.384.000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8.820.000.000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2.661.616.000</w:t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</w:rPr>
              <w:t xml:space="preserve">43%</w:t>
            </w:r>
            <w:r>
              <w:rPr>
                <w:b w:val="0"/>
                <w:bCs w:val="0"/>
              </w:rPr>
            </w:r>
          </w:p>
        </w:tc>
      </w:tr>
    </w:tbl>
    <w:p>
      <w:pPr>
        <w:ind w:left="0" w:right="0" w:firstLine="0"/>
        <w:jc w:val="center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83525" cy="326698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142326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5283524" cy="3266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16.0pt;height:257.2pt;mso-wrap-distance-left:0.0pt;mso-wrap-distance-top:0.0pt;mso-wrap-distance-right:0.0pt;mso-wrap-distance-bottom:0.0pt;rotation:0;" stroked="false">
                <v:path textboxrect="0,0,0,0"/>
                <v:imagedata r:id="rId15" o:title=""/>
              </v:shape>
            </w:pict>
          </mc:Fallback>
        </mc:AlternateContent>
      </w:r>
      <w:r/>
      <w:r/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ind w:left="0" w:right="0" w:firstLine="0"/>
        <w:spacing w:before="240" w:after="24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Zaključci:</w:t>
      </w:r>
      <w:r/>
    </w:p>
    <w:p>
      <w:pPr>
        <w:pStyle w:val="605"/>
        <w:numPr>
          <w:ilvl w:val="0"/>
          <w:numId w:val="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Čačak je zabeležio najveći apsolutni rast prihoda između 2022. i 2024. godine (2,66 milijardi dinara), sa procentualnim rastom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43%.</w:t>
      </w:r>
      <w:r/>
    </w:p>
    <w:p>
      <w:pPr>
        <w:pStyle w:val="605"/>
        <w:numPr>
          <w:ilvl w:val="0"/>
          <w:numId w:val="1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je ostvarilo rast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1,06 milijardi dinara (25%),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dok je Novi Pazar ostvario rast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740,9 miliona dinara (21%).</w:t>
      </w:r>
      <w:r/>
    </w:p>
    <w:p>
      <w:pPr>
        <w:pStyle w:val="605"/>
        <w:numPr>
          <w:ilvl w:val="0"/>
          <w:numId w:val="1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Čačak ima znatno brži rast prihoda u odnosu na Novi Pazar i Kraljevo, što ukazuje na jaču ekonomsku dinamiku i veću osnovu budžeta.</w:t>
      </w:r>
      <w:r/>
    </w:p>
    <w:p>
      <w:pPr>
        <w:pStyle w:val="17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Zaključak i preporuke</w:t>
      </w:r>
      <w:r/>
    </w:p>
    <w:p>
      <w:pPr>
        <w:pStyle w:val="605"/>
        <w:numPr>
          <w:ilvl w:val="0"/>
          <w:numId w:val="1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Novi Pazar: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Iako Novi Pazar beleži rast prihoda u 2023. godini (33% u odnosu na 2022.), prihod u 2024. godini opada za 9% u odnosu na 2023. Ovaj pad zahteva analizu uzroka, kao što su smanjena naplata poreza ili slabija privredna aktivnost.</w:t>
      </w:r>
      <w:r/>
    </w:p>
    <w:p>
      <w:pPr>
        <w:pStyle w:val="605"/>
        <w:numPr>
          <w:ilvl w:val="0"/>
          <w:numId w:val="1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Kraljevo: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Stabilan rast budžeta (25% od 2022. do 2024.) ukazuje na održiv razvoj, ali zaostaje za dinamikom Čačka.</w:t>
      </w:r>
      <w:r/>
    </w:p>
    <w:p>
      <w:pPr>
        <w:pStyle w:val="605"/>
        <w:numPr>
          <w:ilvl w:val="0"/>
          <w:numId w:val="1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Čačak: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Najveći apsolutni i relativni rast (43%) pokazuje da ovaj grad ima najdinamičniji ekonomski razvoj i veći potencijal za prihodovanje, zahvaljujući snažnoj privredi ili boljoj fiskalnoj politici.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Preporuke za Novi Pazar:</w:t>
      </w:r>
      <w:r/>
    </w:p>
    <w:p>
      <w:pPr>
        <w:pStyle w:val="605"/>
        <w:numPr>
          <w:ilvl w:val="0"/>
          <w:numId w:val="1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Fokusirati se na jačanje lokalne privrede, povećanje investicija i bolju naplatu lokalnih poreza.</w:t>
      </w:r>
      <w:r/>
    </w:p>
    <w:p>
      <w:pPr>
        <w:pStyle w:val="605"/>
        <w:numPr>
          <w:ilvl w:val="0"/>
          <w:numId w:val="1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Razmotriti mehanizme za diverzifikaciju budžetskih prihoda kako bi se smanjila zavisnost od sezonskih ili jednokratnih prihoda.</w:t>
      </w:r>
      <w:r/>
      <w:r/>
      <w:r/>
      <w:r>
        <w:rPr>
          <w:rFonts w:ascii="Times New Roman" w:hAnsi="Times New Roman" w:eastAsia="Times New Roman" w:cs="Times New Roman"/>
          <w:sz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  <w:jc w:val="right"/>
    </w:pPr>
    <w:fldSimple w:instr="PAGE \* MERGEFORMAT">
      <w:r>
        <w:t xml:space="preserve">1</w:t>
      </w:r>
    </w:fldSimple>
    <w:r/>
    <w:r/>
  </w:p>
  <w:p>
    <w:pPr>
      <w:pStyle w:val="4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209758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59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873465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basedOn w:val="601"/>
    <w:uiPriority w:val="1"/>
    <w:qFormat/>
    <w:pPr>
      <w:spacing w:after="0" w:line="240" w:lineRule="auto"/>
    </w:pPr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1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www.novipazar.rs/dokumenti#2023" TargetMode="External"/><Relationship Id="rId12" Type="http://schemas.openxmlformats.org/officeDocument/2006/relationships/hyperlink" Target="https://www.kraljevo.rs/dokumenti/budzet/" TargetMode="External"/><Relationship Id="rId13" Type="http://schemas.openxmlformats.org/officeDocument/2006/relationships/hyperlink" Target="https://www.cacak.org.rs/253-1-l" TargetMode="External"/><Relationship Id="rId14" Type="http://schemas.openxmlformats.org/officeDocument/2006/relationships/image" Target="media/image3.png"/><Relationship Id="rId15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2025-01-28T09:54:07Z</dcterms:modified>
</cp:coreProperties>
</file>